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E8527" w14:textId="4107087D" w:rsidR="00973D41" w:rsidRDefault="00973D41" w:rsidP="00496C01">
      <w:pPr>
        <w:spacing w:after="0" w:line="276" w:lineRule="auto"/>
        <w:jc w:val="both"/>
        <w:rPr>
          <w:rFonts w:cstheme="minorHAnsi"/>
          <w:lang w:val="en-US"/>
        </w:rPr>
      </w:pPr>
    </w:p>
    <w:tbl>
      <w:tblPr>
        <w:tblStyle w:val="TableGrid"/>
        <w:tblW w:w="9825" w:type="dxa"/>
        <w:tblLook w:val="04A0" w:firstRow="1" w:lastRow="0" w:firstColumn="1" w:lastColumn="0" w:noHBand="0" w:noVBand="1"/>
      </w:tblPr>
      <w:tblGrid>
        <w:gridCol w:w="2856"/>
        <w:gridCol w:w="6969"/>
      </w:tblGrid>
      <w:tr w:rsidR="004F5E7A" w14:paraId="46DD6D64" w14:textId="77777777" w:rsidTr="00394DFB">
        <w:trPr>
          <w:trHeight w:val="521"/>
        </w:trPr>
        <w:tc>
          <w:tcPr>
            <w:tcW w:w="2856" w:type="dxa"/>
            <w:vAlign w:val="center"/>
          </w:tcPr>
          <w:p w14:paraId="7C210031" w14:textId="77777777" w:rsidR="004F5E7A" w:rsidRPr="00E67A4F" w:rsidRDefault="004F5E7A" w:rsidP="00394DFB">
            <w:pPr>
              <w:rPr>
                <w:rFonts w:cstheme="minorHAnsi"/>
                <w:b/>
                <w:bCs/>
                <w:sz w:val="24"/>
                <w:szCs w:val="24"/>
                <w:lang w:val="en-US"/>
              </w:rPr>
            </w:pPr>
            <w:r w:rsidRPr="00E67A4F">
              <w:rPr>
                <w:rFonts w:cstheme="minorHAnsi"/>
                <w:b/>
                <w:bCs/>
                <w:sz w:val="24"/>
                <w:szCs w:val="24"/>
                <w:lang w:val="en-US"/>
              </w:rPr>
              <w:t>RDA Group:</w:t>
            </w:r>
          </w:p>
        </w:tc>
        <w:tc>
          <w:tcPr>
            <w:tcW w:w="6969" w:type="dxa"/>
            <w:vAlign w:val="center"/>
          </w:tcPr>
          <w:p w14:paraId="191146FF" w14:textId="77777777" w:rsidR="004F5E7A" w:rsidRDefault="004F5E7A" w:rsidP="00394DFB">
            <w:pPr>
              <w:rPr>
                <w:rFonts w:cstheme="minorHAnsi"/>
                <w:lang w:val="en-US"/>
              </w:rPr>
            </w:pPr>
          </w:p>
        </w:tc>
      </w:tr>
      <w:tr w:rsidR="004F5E7A" w14:paraId="49E695C0" w14:textId="77777777" w:rsidTr="00394DFB">
        <w:trPr>
          <w:trHeight w:val="521"/>
        </w:trPr>
        <w:tc>
          <w:tcPr>
            <w:tcW w:w="2856" w:type="dxa"/>
            <w:vAlign w:val="center"/>
          </w:tcPr>
          <w:p w14:paraId="37BA7D7B" w14:textId="77777777" w:rsidR="004F5E7A" w:rsidRPr="00E67A4F" w:rsidRDefault="004F5E7A" w:rsidP="00394DFB">
            <w:pPr>
              <w:rPr>
                <w:rFonts w:cstheme="minorHAnsi"/>
                <w:b/>
                <w:bCs/>
                <w:sz w:val="24"/>
                <w:szCs w:val="24"/>
                <w:lang w:val="en-US"/>
              </w:rPr>
            </w:pPr>
            <w:r w:rsidRPr="00E67A4F">
              <w:rPr>
                <w:rFonts w:cstheme="minorHAnsi"/>
                <w:b/>
                <w:bCs/>
                <w:sz w:val="24"/>
                <w:szCs w:val="24"/>
                <w:lang w:val="en-US"/>
              </w:rPr>
              <w:t>Charity Number:</w:t>
            </w:r>
          </w:p>
        </w:tc>
        <w:tc>
          <w:tcPr>
            <w:tcW w:w="6969" w:type="dxa"/>
            <w:vAlign w:val="center"/>
          </w:tcPr>
          <w:p w14:paraId="086C9D98" w14:textId="77777777" w:rsidR="004F5E7A" w:rsidRDefault="004F5E7A" w:rsidP="00394DFB">
            <w:pPr>
              <w:rPr>
                <w:rFonts w:cstheme="minorHAnsi"/>
                <w:lang w:val="en-US"/>
              </w:rPr>
            </w:pPr>
          </w:p>
        </w:tc>
      </w:tr>
    </w:tbl>
    <w:p w14:paraId="4F0B35EF" w14:textId="77777777" w:rsidR="004F5E7A" w:rsidRDefault="004F5E7A" w:rsidP="00496C01">
      <w:pPr>
        <w:spacing w:after="0" w:line="276" w:lineRule="auto"/>
        <w:jc w:val="both"/>
        <w:rPr>
          <w:rFonts w:cstheme="minorHAnsi"/>
          <w:lang w:val="en-US"/>
        </w:rPr>
      </w:pPr>
    </w:p>
    <w:p w14:paraId="79692B2F" w14:textId="77777777" w:rsidR="004F5E7A" w:rsidRPr="00E67A4F" w:rsidRDefault="004F5E7A" w:rsidP="004F5E7A">
      <w:pPr>
        <w:spacing w:after="0" w:line="276" w:lineRule="auto"/>
        <w:jc w:val="both"/>
        <w:rPr>
          <w:rFonts w:cstheme="minorHAnsi"/>
          <w:i/>
          <w:iCs/>
          <w:lang w:val="en-US"/>
        </w:rPr>
      </w:pPr>
      <w:r>
        <w:rPr>
          <w:rFonts w:cstheme="minorHAnsi"/>
          <w:i/>
          <w:iCs/>
          <w:lang w:val="en-US"/>
        </w:rPr>
        <w:t>The Group is a Member of Riding for the Disabled Association Incorporating Carriage Driving (RDA UK). A Charity Registered in England &amp; Wales (No. 244108) and Scotland (No. SC039476). A Registered Company Limited by Guarantee No. 5010395.</w:t>
      </w:r>
    </w:p>
    <w:p w14:paraId="6209CB3A" w14:textId="77777777" w:rsidR="004F5E7A" w:rsidRPr="00EF0032" w:rsidRDefault="004F5E7A" w:rsidP="00496C01">
      <w:pPr>
        <w:spacing w:after="0" w:line="276" w:lineRule="auto"/>
        <w:jc w:val="both"/>
        <w:rPr>
          <w:rFonts w:cstheme="minorHAnsi"/>
          <w:lang w:val="en-US"/>
        </w:rPr>
      </w:pPr>
    </w:p>
    <w:p w14:paraId="1CF2709B" w14:textId="77777777" w:rsidR="004F5E7A" w:rsidRPr="00EF0032" w:rsidRDefault="004F5E7A" w:rsidP="004F5E7A">
      <w:pPr>
        <w:spacing w:after="0" w:line="276" w:lineRule="auto"/>
        <w:jc w:val="both"/>
        <w:rPr>
          <w:rFonts w:cstheme="minorHAnsi"/>
          <w:sz w:val="24"/>
          <w:szCs w:val="24"/>
        </w:rPr>
      </w:pPr>
      <w:r>
        <w:rPr>
          <w:rFonts w:cstheme="minorHAnsi"/>
          <w:b/>
          <w:bCs/>
          <w:sz w:val="24"/>
          <w:szCs w:val="24"/>
        </w:rPr>
        <w:t>1. Equal Opportunities Policy Statement</w:t>
      </w:r>
    </w:p>
    <w:p w14:paraId="766C7F8D" w14:textId="50E491B4" w:rsidR="004F5E7A" w:rsidRDefault="004F5E7A" w:rsidP="004F5E7A">
      <w:pPr>
        <w:pStyle w:val="ListParagraph"/>
        <w:widowControl w:val="0"/>
        <w:numPr>
          <w:ilvl w:val="0"/>
          <w:numId w:val="7"/>
        </w:numPr>
        <w:tabs>
          <w:tab w:val="left" w:pos="820"/>
        </w:tabs>
        <w:autoSpaceDE w:val="0"/>
        <w:autoSpaceDN w:val="0"/>
        <w:spacing w:after="0" w:line="240" w:lineRule="auto"/>
        <w:ind w:right="-31"/>
        <w:jc w:val="both"/>
      </w:pPr>
      <w:r>
        <w:t>RDA UK is an equal opportunity employer, committed to ensuring that the talents, skills and resources of all employees and volunteers recruited are fully utilised.</w:t>
      </w:r>
      <w:r w:rsidRPr="004F5E7A">
        <w:rPr>
          <w:spacing w:val="40"/>
        </w:rPr>
        <w:t xml:space="preserve"> </w:t>
      </w:r>
      <w:r>
        <w:t xml:space="preserve">RDA UK will not discriminate unfairly against any individual in matters of recruitment or selection for any position, promotion, </w:t>
      </w:r>
      <w:proofErr w:type="gramStart"/>
      <w:r>
        <w:t>development</w:t>
      </w:r>
      <w:proofErr w:type="gramEnd"/>
      <w:r>
        <w:t xml:space="preserve"> or training on the ground of perceived religious or belief, age, sex, sexual orientation, gender reassignment, being married or in a civil partnership, being pregnant or on maternity leave, disability, race including colour, nationality, ethnic or national origin.</w:t>
      </w:r>
    </w:p>
    <w:p w14:paraId="3B662867" w14:textId="77777777" w:rsidR="004F5E7A" w:rsidRDefault="004F5E7A" w:rsidP="004F5E7A">
      <w:pPr>
        <w:pStyle w:val="BodyText"/>
        <w:ind w:right="-31"/>
      </w:pPr>
    </w:p>
    <w:p w14:paraId="5928CBB6" w14:textId="1CA77654" w:rsidR="004F5E7A" w:rsidRDefault="004F5E7A" w:rsidP="004F5E7A">
      <w:pPr>
        <w:pStyle w:val="ListParagraph"/>
        <w:widowControl w:val="0"/>
        <w:numPr>
          <w:ilvl w:val="0"/>
          <w:numId w:val="7"/>
        </w:numPr>
        <w:tabs>
          <w:tab w:val="left" w:pos="820"/>
        </w:tabs>
        <w:autoSpaceDE w:val="0"/>
        <w:autoSpaceDN w:val="0"/>
        <w:spacing w:after="0" w:line="240" w:lineRule="auto"/>
        <w:ind w:right="-31"/>
        <w:jc w:val="both"/>
      </w:pPr>
      <w:r>
        <w:t>RDA UK wholeheartedly supports the principle of equal opportunities and opposes all forms of unlawful or unfair discrimination.</w:t>
      </w:r>
      <w:r w:rsidRPr="004F5E7A">
        <w:rPr>
          <w:spacing w:val="40"/>
        </w:rPr>
        <w:t xml:space="preserve"> </w:t>
      </w:r>
      <w:r>
        <w:t>RDA UK believes that it is in its best interests to consider the resources available throughout the community when employment and volunteering opportunities arise.</w:t>
      </w:r>
      <w:r w:rsidRPr="004F5E7A">
        <w:rPr>
          <w:spacing w:val="40"/>
        </w:rPr>
        <w:t xml:space="preserve"> </w:t>
      </w:r>
      <w:r>
        <w:t>Within the framework of the law RDA UK is committed to this end, wherever practicable, to achieve and maintain a workforce that broadly reflects the local community in which the association operates.</w:t>
      </w:r>
    </w:p>
    <w:p w14:paraId="0D1BEC39" w14:textId="77777777" w:rsidR="004F5E7A" w:rsidRDefault="004F5E7A" w:rsidP="004F5E7A">
      <w:pPr>
        <w:pStyle w:val="BodyText"/>
        <w:spacing w:before="2"/>
        <w:ind w:right="-31"/>
      </w:pPr>
    </w:p>
    <w:p w14:paraId="0341F7CA" w14:textId="77777777" w:rsidR="004F5E7A" w:rsidRDefault="004F5E7A" w:rsidP="004F5E7A">
      <w:pPr>
        <w:pStyle w:val="ListParagraph"/>
        <w:widowControl w:val="0"/>
        <w:numPr>
          <w:ilvl w:val="0"/>
          <w:numId w:val="7"/>
        </w:numPr>
        <w:tabs>
          <w:tab w:val="left" w:pos="820"/>
        </w:tabs>
        <w:autoSpaceDE w:val="0"/>
        <w:autoSpaceDN w:val="0"/>
        <w:spacing w:after="0" w:line="240" w:lineRule="auto"/>
        <w:ind w:right="-31"/>
        <w:jc w:val="both"/>
      </w:pPr>
      <w:r>
        <w:t>Every possible step</w:t>
      </w:r>
      <w:r w:rsidRPr="004F5E7A">
        <w:rPr>
          <w:spacing w:val="-3"/>
        </w:rPr>
        <w:t xml:space="preserve"> </w:t>
      </w:r>
      <w:r>
        <w:t>will therefore be taken to</w:t>
      </w:r>
      <w:r w:rsidRPr="004F5E7A">
        <w:rPr>
          <w:spacing w:val="-1"/>
        </w:rPr>
        <w:t xml:space="preserve"> </w:t>
      </w:r>
      <w:r>
        <w:t xml:space="preserve">ensure that individuals are treated equally and fairly and that decisions on recruitment, selection, development, training, </w:t>
      </w:r>
      <w:proofErr w:type="gramStart"/>
      <w:r>
        <w:t>promotion</w:t>
      </w:r>
      <w:proofErr w:type="gramEnd"/>
      <w:r>
        <w:t xml:space="preserve"> and career management are based solely on objective and job-related criteria.</w:t>
      </w:r>
      <w:r w:rsidRPr="004F5E7A">
        <w:rPr>
          <w:spacing w:val="40"/>
        </w:rPr>
        <w:t xml:space="preserve"> </w:t>
      </w:r>
      <w:r>
        <w:t>Everyone is responsible for playing their part in achieving this policy's objectives.</w:t>
      </w:r>
    </w:p>
    <w:p w14:paraId="4A3EAF78" w14:textId="61DE77A5" w:rsidR="0007066C" w:rsidRPr="00EF0032" w:rsidRDefault="0007066C" w:rsidP="00496C01">
      <w:pPr>
        <w:spacing w:after="0" w:line="276" w:lineRule="auto"/>
        <w:jc w:val="both"/>
        <w:rPr>
          <w:rFonts w:cstheme="minorHAnsi"/>
        </w:rPr>
      </w:pPr>
    </w:p>
    <w:p w14:paraId="4E4701DF" w14:textId="77777777" w:rsidR="004F5E7A" w:rsidRPr="00EF0032" w:rsidRDefault="004F5E7A" w:rsidP="004F5E7A">
      <w:pPr>
        <w:spacing w:after="0" w:line="276" w:lineRule="auto"/>
        <w:jc w:val="both"/>
        <w:rPr>
          <w:rFonts w:cstheme="minorHAnsi"/>
          <w:sz w:val="24"/>
          <w:szCs w:val="24"/>
        </w:rPr>
      </w:pPr>
      <w:r>
        <w:rPr>
          <w:rFonts w:cstheme="minorHAnsi"/>
          <w:b/>
          <w:bCs/>
          <w:sz w:val="24"/>
          <w:szCs w:val="24"/>
        </w:rPr>
        <w:t>2. Measures to Avoid Discrimination in Specific Areas</w:t>
      </w:r>
    </w:p>
    <w:p w14:paraId="5AD24B13" w14:textId="5FEECBA7" w:rsidR="004F5E7A" w:rsidRDefault="004F5E7A" w:rsidP="004F5E7A">
      <w:pPr>
        <w:widowControl w:val="0"/>
        <w:tabs>
          <w:tab w:val="left" w:pos="820"/>
        </w:tabs>
        <w:autoSpaceDE w:val="0"/>
        <w:autoSpaceDN w:val="0"/>
        <w:spacing w:after="0" w:line="240" w:lineRule="auto"/>
      </w:pPr>
      <w:bookmarkStart w:id="0" w:name="_Hlk155273869"/>
      <w:r>
        <w:t>RDA UK</w:t>
      </w:r>
      <w:r w:rsidRPr="00EF72A5">
        <w:rPr>
          <w:spacing w:val="-5"/>
        </w:rPr>
        <w:t xml:space="preserve"> </w:t>
      </w:r>
      <w:r>
        <w:t>intends</w:t>
      </w:r>
      <w:r w:rsidRPr="00EF72A5">
        <w:rPr>
          <w:spacing w:val="-2"/>
        </w:rPr>
        <w:t xml:space="preserve"> </w:t>
      </w:r>
      <w:r>
        <w:t>to</w:t>
      </w:r>
      <w:r w:rsidRPr="00EF72A5">
        <w:rPr>
          <w:spacing w:val="-2"/>
        </w:rPr>
        <w:t xml:space="preserve"> </w:t>
      </w:r>
      <w:r>
        <w:t>avoid</w:t>
      </w:r>
      <w:r w:rsidRPr="00EF72A5">
        <w:rPr>
          <w:spacing w:val="-4"/>
        </w:rPr>
        <w:t xml:space="preserve"> </w:t>
      </w:r>
      <w:r>
        <w:t>any</w:t>
      </w:r>
      <w:r w:rsidRPr="00EF72A5">
        <w:rPr>
          <w:spacing w:val="-3"/>
        </w:rPr>
        <w:t xml:space="preserve"> </w:t>
      </w:r>
      <w:r>
        <w:t>form</w:t>
      </w:r>
      <w:r w:rsidRPr="00EF72A5">
        <w:rPr>
          <w:spacing w:val="-4"/>
        </w:rPr>
        <w:t xml:space="preserve"> </w:t>
      </w:r>
      <w:r>
        <w:t>of</w:t>
      </w:r>
      <w:r w:rsidRPr="00EF72A5">
        <w:rPr>
          <w:spacing w:val="-5"/>
        </w:rPr>
        <w:t xml:space="preserve"> </w:t>
      </w:r>
      <w:r>
        <w:t>direct</w:t>
      </w:r>
      <w:r w:rsidRPr="00EF72A5">
        <w:rPr>
          <w:spacing w:val="-5"/>
        </w:rPr>
        <w:t xml:space="preserve"> </w:t>
      </w:r>
      <w:r>
        <w:t>or</w:t>
      </w:r>
      <w:r w:rsidRPr="00EF72A5">
        <w:rPr>
          <w:spacing w:val="-5"/>
        </w:rPr>
        <w:t xml:space="preserve"> </w:t>
      </w:r>
      <w:r>
        <w:t>indirect discrimination</w:t>
      </w:r>
      <w:r w:rsidRPr="00EF72A5">
        <w:rPr>
          <w:spacing w:val="-4"/>
        </w:rPr>
        <w:t xml:space="preserve"> </w:t>
      </w:r>
      <w:r>
        <w:t>in</w:t>
      </w:r>
      <w:r w:rsidRPr="00EF72A5">
        <w:rPr>
          <w:spacing w:val="-2"/>
        </w:rPr>
        <w:t xml:space="preserve"> </w:t>
      </w:r>
      <w:r>
        <w:t>the</w:t>
      </w:r>
      <w:r w:rsidRPr="00EF72A5">
        <w:rPr>
          <w:spacing w:val="-5"/>
        </w:rPr>
        <w:t xml:space="preserve"> </w:t>
      </w:r>
      <w:r w:rsidRPr="00EF72A5">
        <w:rPr>
          <w:spacing w:val="-2"/>
        </w:rPr>
        <w:t>following:</w:t>
      </w:r>
    </w:p>
    <w:p w14:paraId="509700BA" w14:textId="77777777" w:rsidR="004F5E7A" w:rsidRDefault="004F5E7A" w:rsidP="004F5E7A">
      <w:pPr>
        <w:pStyle w:val="BodyText"/>
      </w:pPr>
    </w:p>
    <w:p w14:paraId="06CFBD37" w14:textId="5F7328BD" w:rsidR="004F5E7A" w:rsidRDefault="004F5E7A" w:rsidP="004F5E7A">
      <w:pPr>
        <w:pStyle w:val="ListParagraph"/>
        <w:widowControl w:val="0"/>
        <w:numPr>
          <w:ilvl w:val="0"/>
          <w:numId w:val="4"/>
        </w:numPr>
        <w:tabs>
          <w:tab w:val="left" w:pos="820"/>
        </w:tabs>
        <w:autoSpaceDE w:val="0"/>
        <w:autoSpaceDN w:val="0"/>
        <w:spacing w:after="0" w:line="240" w:lineRule="auto"/>
        <w:ind w:right="114"/>
        <w:jc w:val="both"/>
      </w:pPr>
      <w:r w:rsidRPr="004F5E7A">
        <w:rPr>
          <w:b/>
        </w:rPr>
        <w:t>Recruitment and Selection</w:t>
      </w:r>
      <w:r>
        <w:t>: RDA UK will aim to elicit the widest possible response when advertising vacancies.</w:t>
      </w:r>
      <w:r w:rsidRPr="004F5E7A">
        <w:rPr>
          <w:spacing w:val="40"/>
        </w:rPr>
        <w:t xml:space="preserve"> </w:t>
      </w:r>
      <w:r>
        <w:t xml:space="preserve">It will avoid using terminology that suggests that vacancies are open to persons of only one sex, </w:t>
      </w:r>
      <w:proofErr w:type="gramStart"/>
      <w:r>
        <w:t>race</w:t>
      </w:r>
      <w:proofErr w:type="gramEnd"/>
      <w:r>
        <w:t xml:space="preserve"> or particular marital status.</w:t>
      </w:r>
    </w:p>
    <w:p w14:paraId="588FEC41" w14:textId="77777777" w:rsidR="004F5E7A" w:rsidRDefault="004F5E7A" w:rsidP="004F5E7A">
      <w:pPr>
        <w:pStyle w:val="ListParagraph"/>
        <w:widowControl w:val="0"/>
        <w:tabs>
          <w:tab w:val="left" w:pos="820"/>
        </w:tabs>
        <w:autoSpaceDE w:val="0"/>
        <w:autoSpaceDN w:val="0"/>
        <w:spacing w:after="0" w:line="240" w:lineRule="auto"/>
        <w:ind w:right="114"/>
        <w:jc w:val="both"/>
      </w:pPr>
    </w:p>
    <w:p w14:paraId="3FF3C610" w14:textId="67079C35" w:rsidR="004F5E7A" w:rsidRDefault="004F5E7A" w:rsidP="004F5E7A">
      <w:pPr>
        <w:pStyle w:val="ListParagraph"/>
        <w:widowControl w:val="0"/>
        <w:numPr>
          <w:ilvl w:val="1"/>
          <w:numId w:val="4"/>
        </w:numPr>
        <w:tabs>
          <w:tab w:val="left" w:pos="820"/>
        </w:tabs>
        <w:autoSpaceDE w:val="0"/>
        <w:autoSpaceDN w:val="0"/>
        <w:spacing w:after="0" w:line="240" w:lineRule="auto"/>
        <w:ind w:right="114"/>
        <w:jc w:val="both"/>
      </w:pPr>
      <w:r>
        <w:t>In</w:t>
      </w:r>
      <w:r w:rsidRPr="004F5E7A">
        <w:rPr>
          <w:spacing w:val="-3"/>
        </w:rPr>
        <w:t xml:space="preserve"> </w:t>
      </w:r>
      <w:r>
        <w:t>the</w:t>
      </w:r>
      <w:r w:rsidRPr="004F5E7A">
        <w:rPr>
          <w:spacing w:val="-1"/>
        </w:rPr>
        <w:t xml:space="preserve"> </w:t>
      </w:r>
      <w:r>
        <w:t>selection</w:t>
      </w:r>
      <w:r w:rsidRPr="004F5E7A">
        <w:rPr>
          <w:spacing w:val="-2"/>
        </w:rPr>
        <w:t xml:space="preserve"> </w:t>
      </w:r>
      <w:r>
        <w:t>process RDA UK</w:t>
      </w:r>
      <w:r w:rsidRPr="004F5E7A">
        <w:rPr>
          <w:spacing w:val="-1"/>
        </w:rPr>
        <w:t xml:space="preserve"> </w:t>
      </w:r>
      <w:r>
        <w:t>will</w:t>
      </w:r>
      <w:r w:rsidRPr="004F5E7A">
        <w:rPr>
          <w:spacing w:val="-2"/>
        </w:rPr>
        <w:t xml:space="preserve"> </w:t>
      </w:r>
      <w:r>
        <w:t>aim</w:t>
      </w:r>
      <w:r w:rsidRPr="004F5E7A">
        <w:rPr>
          <w:spacing w:val="-3"/>
        </w:rPr>
        <w:t xml:space="preserve"> </w:t>
      </w:r>
      <w:r>
        <w:t>to</w:t>
      </w:r>
      <w:r w:rsidRPr="004F5E7A">
        <w:rPr>
          <w:spacing w:val="-3"/>
        </w:rPr>
        <w:t xml:space="preserve"> </w:t>
      </w:r>
      <w:r>
        <w:t>use</w:t>
      </w:r>
      <w:r w:rsidRPr="004F5E7A">
        <w:rPr>
          <w:spacing w:val="-1"/>
        </w:rPr>
        <w:t xml:space="preserve"> </w:t>
      </w:r>
      <w:r>
        <w:t>criteria</w:t>
      </w:r>
      <w:r w:rsidRPr="004F5E7A">
        <w:rPr>
          <w:spacing w:val="-4"/>
        </w:rPr>
        <w:t xml:space="preserve"> </w:t>
      </w:r>
      <w:r>
        <w:t>clearly</w:t>
      </w:r>
      <w:r w:rsidRPr="004F5E7A">
        <w:rPr>
          <w:spacing w:val="-1"/>
        </w:rPr>
        <w:t xml:space="preserve"> </w:t>
      </w:r>
      <w:r>
        <w:t>identified</w:t>
      </w:r>
      <w:r w:rsidRPr="004F5E7A">
        <w:rPr>
          <w:spacing w:val="-1"/>
        </w:rPr>
        <w:t xml:space="preserve"> </w:t>
      </w:r>
      <w:r>
        <w:t>as</w:t>
      </w:r>
      <w:r w:rsidRPr="004F5E7A">
        <w:rPr>
          <w:spacing w:val="-1"/>
        </w:rPr>
        <w:t xml:space="preserve"> </w:t>
      </w:r>
      <w:r>
        <w:t>being</w:t>
      </w:r>
      <w:r w:rsidRPr="004F5E7A">
        <w:rPr>
          <w:spacing w:val="-2"/>
        </w:rPr>
        <w:t xml:space="preserve"> </w:t>
      </w:r>
      <w:r>
        <w:t>directly</w:t>
      </w:r>
      <w:r w:rsidRPr="004F5E7A">
        <w:rPr>
          <w:spacing w:val="-3"/>
        </w:rPr>
        <w:t xml:space="preserve"> </w:t>
      </w:r>
      <w:r>
        <w:t>related to vacancy available.</w:t>
      </w:r>
    </w:p>
    <w:p w14:paraId="2CC5461F" w14:textId="77777777" w:rsidR="004F5E7A" w:rsidRDefault="004F5E7A" w:rsidP="004F5E7A">
      <w:pPr>
        <w:pStyle w:val="ListParagraph"/>
        <w:widowControl w:val="0"/>
        <w:tabs>
          <w:tab w:val="left" w:pos="820"/>
        </w:tabs>
        <w:autoSpaceDE w:val="0"/>
        <w:autoSpaceDN w:val="0"/>
        <w:spacing w:after="0" w:line="240" w:lineRule="auto"/>
        <w:ind w:left="1440" w:right="114"/>
        <w:jc w:val="both"/>
      </w:pPr>
    </w:p>
    <w:p w14:paraId="11350CDE" w14:textId="15E359F3" w:rsidR="004F5E7A" w:rsidRDefault="004F5E7A" w:rsidP="004F5E7A">
      <w:pPr>
        <w:pStyle w:val="ListParagraph"/>
        <w:widowControl w:val="0"/>
        <w:numPr>
          <w:ilvl w:val="1"/>
          <w:numId w:val="4"/>
        </w:numPr>
        <w:tabs>
          <w:tab w:val="left" w:pos="820"/>
        </w:tabs>
        <w:autoSpaceDE w:val="0"/>
        <w:autoSpaceDN w:val="0"/>
        <w:spacing w:after="0" w:line="240" w:lineRule="auto"/>
        <w:ind w:right="114"/>
        <w:jc w:val="both"/>
      </w:pPr>
      <w:r>
        <w:t>When filling a vacancy, applications will be accepted from all groups in accordance with the protected characteristics of the Equality Act 2010 (as listed above in paragraph 1). The agencies used will also be made aware of RDA UK's commitment to provide equal opportunities for all groups in the community.</w:t>
      </w:r>
    </w:p>
    <w:p w14:paraId="3B3B5E9D" w14:textId="77777777" w:rsidR="004F5E7A" w:rsidRDefault="004F5E7A" w:rsidP="004F5E7A">
      <w:pPr>
        <w:widowControl w:val="0"/>
        <w:tabs>
          <w:tab w:val="left" w:pos="820"/>
        </w:tabs>
        <w:autoSpaceDE w:val="0"/>
        <w:autoSpaceDN w:val="0"/>
        <w:spacing w:before="1" w:after="0" w:line="240" w:lineRule="auto"/>
        <w:ind w:right="113"/>
        <w:jc w:val="both"/>
      </w:pPr>
    </w:p>
    <w:p w14:paraId="22795168" w14:textId="38C26D2E" w:rsidR="004F5E7A" w:rsidRDefault="004F5E7A" w:rsidP="004F5E7A">
      <w:pPr>
        <w:pStyle w:val="ListParagraph"/>
        <w:widowControl w:val="0"/>
        <w:numPr>
          <w:ilvl w:val="0"/>
          <w:numId w:val="4"/>
        </w:numPr>
        <w:tabs>
          <w:tab w:val="left" w:pos="820"/>
        </w:tabs>
        <w:autoSpaceDE w:val="0"/>
        <w:autoSpaceDN w:val="0"/>
        <w:spacing w:before="1" w:after="0" w:line="240" w:lineRule="auto"/>
        <w:ind w:right="113"/>
        <w:jc w:val="both"/>
      </w:pPr>
      <w:r w:rsidRPr="004F5E7A">
        <w:rPr>
          <w:b/>
        </w:rPr>
        <w:t>Appraisal and Counselling</w:t>
      </w:r>
      <w:r>
        <w:t>: RDA UK's appraisal and counselling processes are considered important and essential mechanisms in encouraging employee performance and development.</w:t>
      </w:r>
      <w:r w:rsidRPr="004F5E7A">
        <w:rPr>
          <w:spacing w:val="40"/>
        </w:rPr>
        <w:t xml:space="preserve"> </w:t>
      </w:r>
      <w:r>
        <w:t>Any employee or volunteer involved in carrying out appraisal and counselling should do so on a non-discriminatory basis.</w:t>
      </w:r>
    </w:p>
    <w:p w14:paraId="11015D19" w14:textId="77777777" w:rsidR="004F5E7A" w:rsidRDefault="004F5E7A" w:rsidP="004F5E7A">
      <w:pPr>
        <w:pStyle w:val="ListParagraph"/>
        <w:widowControl w:val="0"/>
        <w:tabs>
          <w:tab w:val="left" w:pos="820"/>
        </w:tabs>
        <w:autoSpaceDE w:val="0"/>
        <w:autoSpaceDN w:val="0"/>
        <w:spacing w:before="1" w:after="0" w:line="240" w:lineRule="auto"/>
        <w:ind w:right="113"/>
        <w:jc w:val="both"/>
      </w:pPr>
    </w:p>
    <w:p w14:paraId="56E722B1" w14:textId="4DFE89C1" w:rsidR="004F5E7A" w:rsidRDefault="004F5E7A" w:rsidP="004F5E7A">
      <w:pPr>
        <w:pStyle w:val="ListParagraph"/>
        <w:widowControl w:val="0"/>
        <w:numPr>
          <w:ilvl w:val="0"/>
          <w:numId w:val="4"/>
        </w:numPr>
        <w:tabs>
          <w:tab w:val="left" w:pos="820"/>
        </w:tabs>
        <w:autoSpaceDE w:val="0"/>
        <w:autoSpaceDN w:val="0"/>
        <w:spacing w:before="267" w:after="0" w:line="240" w:lineRule="auto"/>
        <w:ind w:right="115"/>
        <w:jc w:val="both"/>
      </w:pPr>
      <w:r w:rsidRPr="004F5E7A">
        <w:rPr>
          <w:b/>
        </w:rPr>
        <w:lastRenderedPageBreak/>
        <w:t>Training and</w:t>
      </w:r>
      <w:r w:rsidRPr="004F5E7A">
        <w:rPr>
          <w:b/>
          <w:spacing w:val="-1"/>
        </w:rPr>
        <w:t xml:space="preserve"> </w:t>
      </w:r>
      <w:r w:rsidRPr="004F5E7A">
        <w:rPr>
          <w:b/>
        </w:rPr>
        <w:t>Development</w:t>
      </w:r>
      <w:r>
        <w:t>: Training</w:t>
      </w:r>
      <w:r w:rsidRPr="004F5E7A">
        <w:rPr>
          <w:spacing w:val="-1"/>
        </w:rPr>
        <w:t xml:space="preserve"> </w:t>
      </w:r>
      <w:r>
        <w:t>and</w:t>
      </w:r>
      <w:r w:rsidRPr="004F5E7A">
        <w:rPr>
          <w:spacing w:val="-1"/>
        </w:rPr>
        <w:t xml:space="preserve"> </w:t>
      </w:r>
      <w:r>
        <w:t>development are</w:t>
      </w:r>
      <w:r w:rsidRPr="004F5E7A">
        <w:rPr>
          <w:spacing w:val="-2"/>
        </w:rPr>
        <w:t xml:space="preserve"> </w:t>
      </w:r>
      <w:r>
        <w:t>important</w:t>
      </w:r>
      <w:r w:rsidRPr="004F5E7A">
        <w:rPr>
          <w:spacing w:val="-3"/>
        </w:rPr>
        <w:t xml:space="preserve"> </w:t>
      </w:r>
      <w:r>
        <w:t>in</w:t>
      </w:r>
      <w:r w:rsidRPr="004F5E7A">
        <w:rPr>
          <w:spacing w:val="-2"/>
        </w:rPr>
        <w:t xml:space="preserve"> </w:t>
      </w:r>
      <w:r>
        <w:t>RDA UK’s</w:t>
      </w:r>
      <w:r w:rsidRPr="004F5E7A">
        <w:rPr>
          <w:spacing w:val="-1"/>
        </w:rPr>
        <w:t xml:space="preserve"> </w:t>
      </w:r>
      <w:r>
        <w:t>performance. All training and development programmes are designed on a non-discriminatory basis, as is the selection for those attending any training and development programme.</w:t>
      </w:r>
    </w:p>
    <w:p w14:paraId="7C2ABCAF" w14:textId="77777777" w:rsidR="004F5E7A" w:rsidRDefault="004F5E7A" w:rsidP="004F5E7A">
      <w:pPr>
        <w:pStyle w:val="BodyText"/>
        <w:spacing w:before="1"/>
      </w:pPr>
    </w:p>
    <w:p w14:paraId="0E95845B" w14:textId="38F7A015" w:rsidR="004F5E7A" w:rsidRDefault="004F5E7A" w:rsidP="004F5E7A">
      <w:pPr>
        <w:pStyle w:val="ListParagraph"/>
        <w:widowControl w:val="0"/>
        <w:numPr>
          <w:ilvl w:val="0"/>
          <w:numId w:val="4"/>
        </w:numPr>
        <w:tabs>
          <w:tab w:val="left" w:pos="820"/>
        </w:tabs>
        <w:autoSpaceDE w:val="0"/>
        <w:autoSpaceDN w:val="0"/>
        <w:spacing w:after="0" w:line="240" w:lineRule="auto"/>
        <w:ind w:right="114"/>
        <w:jc w:val="both"/>
      </w:pPr>
      <w:r w:rsidRPr="004F5E7A">
        <w:rPr>
          <w:b/>
        </w:rPr>
        <w:t>Promotion</w:t>
      </w:r>
      <w:r>
        <w:t xml:space="preserve">: RDA UK aims to promote an individual on the basis of their specific aptitude skills, </w:t>
      </w:r>
      <w:proofErr w:type="gramStart"/>
      <w:r>
        <w:t>knowledge</w:t>
      </w:r>
      <w:proofErr w:type="gramEnd"/>
      <w:r>
        <w:t xml:space="preserve"> and ability to perform a role effectively.</w:t>
      </w:r>
      <w:r w:rsidRPr="004F5E7A">
        <w:rPr>
          <w:spacing w:val="40"/>
        </w:rPr>
        <w:t xml:space="preserve"> </w:t>
      </w:r>
      <w:r>
        <w:t>Those involved in the selection process for promotion will ensure that it is based on criteria clearly identified as being directly</w:t>
      </w:r>
      <w:r w:rsidRPr="004F5E7A">
        <w:rPr>
          <w:spacing w:val="40"/>
        </w:rPr>
        <w:t xml:space="preserve"> </w:t>
      </w:r>
      <w:r>
        <w:t>related to both job and person specifications.</w:t>
      </w:r>
    </w:p>
    <w:bookmarkEnd w:id="0"/>
    <w:p w14:paraId="37A57DED" w14:textId="77777777" w:rsidR="00496C01" w:rsidRPr="00EF0032" w:rsidRDefault="00496C01" w:rsidP="00496C01">
      <w:pPr>
        <w:spacing w:after="0" w:line="276" w:lineRule="auto"/>
        <w:jc w:val="both"/>
        <w:rPr>
          <w:rFonts w:cstheme="minorHAnsi"/>
        </w:rPr>
      </w:pPr>
    </w:p>
    <w:p w14:paraId="2B5BEB3E" w14:textId="77777777" w:rsidR="004F5E7A" w:rsidRPr="00EF0032" w:rsidRDefault="004F5E7A" w:rsidP="004F5E7A">
      <w:pPr>
        <w:spacing w:after="0" w:line="276" w:lineRule="auto"/>
        <w:jc w:val="both"/>
        <w:rPr>
          <w:rFonts w:cstheme="minorHAnsi"/>
          <w:sz w:val="24"/>
          <w:szCs w:val="24"/>
        </w:rPr>
      </w:pPr>
      <w:r>
        <w:rPr>
          <w:rFonts w:cstheme="minorHAnsi"/>
          <w:b/>
          <w:bCs/>
          <w:sz w:val="24"/>
          <w:szCs w:val="24"/>
        </w:rPr>
        <w:t>3. Equal Opportunities Training</w:t>
      </w:r>
    </w:p>
    <w:p w14:paraId="47D67138" w14:textId="64E2DF65" w:rsidR="004F5E7A" w:rsidRDefault="004F5E7A" w:rsidP="004F5E7A">
      <w:pPr>
        <w:pStyle w:val="BodyText"/>
        <w:ind w:right="-35"/>
        <w:jc w:val="both"/>
      </w:pPr>
      <w:r>
        <w:t>RDA UK realises the importance of training in ensuring that the policy is implemented effectively on a day-to-day basis.</w:t>
      </w:r>
      <w:r>
        <w:rPr>
          <w:spacing w:val="40"/>
        </w:rPr>
        <w:t xml:space="preserve"> </w:t>
      </w:r>
      <w:r>
        <w:t>This is identified in three areas:</w:t>
      </w:r>
    </w:p>
    <w:p w14:paraId="08C252FB" w14:textId="77777777" w:rsidR="004F5E7A" w:rsidRDefault="004F5E7A" w:rsidP="004F5E7A">
      <w:pPr>
        <w:pStyle w:val="BodyText"/>
      </w:pPr>
    </w:p>
    <w:p w14:paraId="21F60E4C" w14:textId="0EC51FD9" w:rsidR="004F5E7A" w:rsidRDefault="004F5E7A" w:rsidP="004F5E7A">
      <w:pPr>
        <w:pStyle w:val="ListParagraph"/>
        <w:widowControl w:val="0"/>
        <w:numPr>
          <w:ilvl w:val="0"/>
          <w:numId w:val="2"/>
        </w:numPr>
        <w:tabs>
          <w:tab w:val="left" w:pos="820"/>
        </w:tabs>
        <w:autoSpaceDE w:val="0"/>
        <w:autoSpaceDN w:val="0"/>
        <w:spacing w:before="1" w:after="0" w:line="240" w:lineRule="auto"/>
        <w:jc w:val="both"/>
      </w:pPr>
      <w:r>
        <w:t>To</w:t>
      </w:r>
      <w:r w:rsidRPr="00EF72A5">
        <w:rPr>
          <w:spacing w:val="-8"/>
        </w:rPr>
        <w:t xml:space="preserve"> </w:t>
      </w:r>
      <w:r>
        <w:t>educate</w:t>
      </w:r>
      <w:r w:rsidRPr="00EF72A5">
        <w:rPr>
          <w:spacing w:val="-5"/>
        </w:rPr>
        <w:t xml:space="preserve"> </w:t>
      </w:r>
      <w:r>
        <w:t>those</w:t>
      </w:r>
      <w:r w:rsidRPr="00EF72A5">
        <w:rPr>
          <w:spacing w:val="-4"/>
        </w:rPr>
        <w:t xml:space="preserve"> </w:t>
      </w:r>
      <w:r>
        <w:t>involved</w:t>
      </w:r>
      <w:r w:rsidRPr="00EF72A5">
        <w:rPr>
          <w:spacing w:val="-4"/>
        </w:rPr>
        <w:t xml:space="preserve"> </w:t>
      </w:r>
      <w:r>
        <w:t>in</w:t>
      </w:r>
      <w:r w:rsidRPr="00EF72A5">
        <w:rPr>
          <w:spacing w:val="-5"/>
        </w:rPr>
        <w:t xml:space="preserve"> </w:t>
      </w:r>
      <w:r>
        <w:t>decision-making</w:t>
      </w:r>
      <w:r w:rsidRPr="00EF72A5">
        <w:rPr>
          <w:spacing w:val="-7"/>
        </w:rPr>
        <w:t xml:space="preserve"> </w:t>
      </w:r>
      <w:r>
        <w:t>on</w:t>
      </w:r>
      <w:r w:rsidRPr="00EF72A5">
        <w:rPr>
          <w:spacing w:val="-6"/>
        </w:rPr>
        <w:t xml:space="preserve"> </w:t>
      </w:r>
      <w:r>
        <w:t>selection</w:t>
      </w:r>
      <w:r w:rsidRPr="00EF72A5">
        <w:rPr>
          <w:spacing w:val="-5"/>
        </w:rPr>
        <w:t xml:space="preserve"> </w:t>
      </w:r>
      <w:r>
        <w:t>for</w:t>
      </w:r>
      <w:r w:rsidRPr="00EF72A5">
        <w:rPr>
          <w:spacing w:val="-4"/>
        </w:rPr>
        <w:t xml:space="preserve"> </w:t>
      </w:r>
      <w:r w:rsidRPr="00EF72A5">
        <w:rPr>
          <w:spacing w:val="-2"/>
        </w:rPr>
        <w:t>recruitment,</w:t>
      </w:r>
      <w:r>
        <w:t xml:space="preserve"> promotion, training and development, disciplinary offences, and for those who appraise or counsel employees.</w:t>
      </w:r>
      <w:r>
        <w:rPr>
          <w:spacing w:val="40"/>
        </w:rPr>
        <w:t xml:space="preserve"> </w:t>
      </w:r>
      <w:r>
        <w:t>RDA UK will ensure that those people involved in such decisions are informed of the importance of being objective and of pursuing an equal opportunities approach.</w:t>
      </w:r>
      <w:r w:rsidRPr="00EF72A5">
        <w:rPr>
          <w:spacing w:val="40"/>
        </w:rPr>
        <w:t xml:space="preserve"> </w:t>
      </w:r>
      <w:r>
        <w:t>Those involved in selection will receive training that includes information on</w:t>
      </w:r>
      <w:r w:rsidRPr="00EF72A5">
        <w:rPr>
          <w:spacing w:val="40"/>
        </w:rPr>
        <w:t xml:space="preserve"> </w:t>
      </w:r>
      <w:r>
        <w:t>equal opportunity in those areas.</w:t>
      </w:r>
    </w:p>
    <w:p w14:paraId="70BDEB8B" w14:textId="77777777" w:rsidR="004F5E7A" w:rsidRDefault="004F5E7A" w:rsidP="004F5E7A">
      <w:pPr>
        <w:pStyle w:val="ListParagraph"/>
        <w:widowControl w:val="0"/>
        <w:tabs>
          <w:tab w:val="left" w:pos="820"/>
        </w:tabs>
        <w:autoSpaceDE w:val="0"/>
        <w:autoSpaceDN w:val="0"/>
        <w:spacing w:before="1" w:after="0" w:line="240" w:lineRule="auto"/>
        <w:jc w:val="both"/>
      </w:pPr>
    </w:p>
    <w:p w14:paraId="778F4C67" w14:textId="77777777" w:rsidR="004F5E7A" w:rsidRPr="004F5E7A" w:rsidRDefault="004F5E7A" w:rsidP="004F5E7A">
      <w:pPr>
        <w:pStyle w:val="ListParagraph"/>
        <w:widowControl w:val="0"/>
        <w:numPr>
          <w:ilvl w:val="0"/>
          <w:numId w:val="2"/>
        </w:numPr>
        <w:tabs>
          <w:tab w:val="left" w:pos="820"/>
        </w:tabs>
        <w:autoSpaceDE w:val="0"/>
        <w:autoSpaceDN w:val="0"/>
        <w:spacing w:after="0" w:line="267" w:lineRule="exact"/>
        <w:jc w:val="both"/>
      </w:pPr>
      <w:r>
        <w:t>To</w:t>
      </w:r>
      <w:r w:rsidRPr="00EF72A5">
        <w:rPr>
          <w:spacing w:val="-4"/>
        </w:rPr>
        <w:t xml:space="preserve"> </w:t>
      </w:r>
      <w:r>
        <w:t>educate</w:t>
      </w:r>
      <w:r w:rsidRPr="00EF72A5">
        <w:rPr>
          <w:spacing w:val="-4"/>
        </w:rPr>
        <w:t xml:space="preserve"> </w:t>
      </w:r>
      <w:r>
        <w:t>everyone</w:t>
      </w:r>
      <w:r w:rsidRPr="00EF72A5">
        <w:rPr>
          <w:spacing w:val="-3"/>
        </w:rPr>
        <w:t xml:space="preserve"> </w:t>
      </w:r>
      <w:r>
        <w:t>in</w:t>
      </w:r>
      <w:r w:rsidRPr="00EF72A5">
        <w:rPr>
          <w:spacing w:val="-4"/>
        </w:rPr>
        <w:t xml:space="preserve"> </w:t>
      </w:r>
      <w:r>
        <w:t>the</w:t>
      </w:r>
      <w:r w:rsidRPr="00EF72A5">
        <w:rPr>
          <w:spacing w:val="-4"/>
        </w:rPr>
        <w:t xml:space="preserve"> </w:t>
      </w:r>
      <w:r>
        <w:t>importance</w:t>
      </w:r>
      <w:r w:rsidRPr="00EF72A5">
        <w:rPr>
          <w:spacing w:val="-4"/>
        </w:rPr>
        <w:t xml:space="preserve"> </w:t>
      </w:r>
      <w:r>
        <w:t>of</w:t>
      </w:r>
      <w:r w:rsidRPr="00EF72A5">
        <w:rPr>
          <w:spacing w:val="-6"/>
        </w:rPr>
        <w:t xml:space="preserve"> </w:t>
      </w:r>
      <w:r>
        <w:t>equality</w:t>
      </w:r>
      <w:r w:rsidRPr="00EF72A5">
        <w:rPr>
          <w:spacing w:val="-3"/>
        </w:rPr>
        <w:t xml:space="preserve"> </w:t>
      </w:r>
      <w:r>
        <w:t>in</w:t>
      </w:r>
      <w:r w:rsidRPr="00EF72A5">
        <w:rPr>
          <w:spacing w:val="-3"/>
        </w:rPr>
        <w:t xml:space="preserve"> </w:t>
      </w:r>
      <w:r>
        <w:t>all</w:t>
      </w:r>
      <w:r w:rsidRPr="00EF72A5">
        <w:rPr>
          <w:spacing w:val="-1"/>
        </w:rPr>
        <w:t xml:space="preserve"> </w:t>
      </w:r>
      <w:r w:rsidRPr="00EF72A5">
        <w:rPr>
          <w:spacing w:val="-2"/>
        </w:rPr>
        <w:t>matters.</w:t>
      </w:r>
    </w:p>
    <w:p w14:paraId="0B107C97" w14:textId="77777777" w:rsidR="004F5E7A" w:rsidRDefault="004F5E7A" w:rsidP="004F5E7A">
      <w:pPr>
        <w:widowControl w:val="0"/>
        <w:tabs>
          <w:tab w:val="left" w:pos="820"/>
        </w:tabs>
        <w:autoSpaceDE w:val="0"/>
        <w:autoSpaceDN w:val="0"/>
        <w:spacing w:after="0" w:line="267" w:lineRule="exact"/>
        <w:jc w:val="both"/>
      </w:pPr>
    </w:p>
    <w:p w14:paraId="4F73009B" w14:textId="13A192AB" w:rsidR="004F5E7A" w:rsidRDefault="004F5E7A" w:rsidP="004F5E7A">
      <w:pPr>
        <w:pStyle w:val="ListParagraph"/>
        <w:widowControl w:val="0"/>
        <w:numPr>
          <w:ilvl w:val="0"/>
          <w:numId w:val="2"/>
        </w:numPr>
        <w:tabs>
          <w:tab w:val="left" w:pos="820"/>
        </w:tabs>
        <w:autoSpaceDE w:val="0"/>
        <w:autoSpaceDN w:val="0"/>
        <w:spacing w:after="0" w:line="240" w:lineRule="auto"/>
        <w:ind w:right="115"/>
        <w:jc w:val="both"/>
      </w:pPr>
      <w:r>
        <w:t>To provide adequate induction training for all employees and volunteers to assist them in settling into the</w:t>
      </w:r>
      <w:r w:rsidRPr="00EF72A5">
        <w:rPr>
          <w:spacing w:val="-2"/>
        </w:rPr>
        <w:t xml:space="preserve"> </w:t>
      </w:r>
      <w:r>
        <w:t>organisational culture</w:t>
      </w:r>
      <w:r w:rsidRPr="00EF72A5">
        <w:rPr>
          <w:spacing w:val="-2"/>
        </w:rPr>
        <w:t xml:space="preserve"> </w:t>
      </w:r>
      <w:r>
        <w:t>and procedures as quickly as</w:t>
      </w:r>
      <w:r w:rsidRPr="00EF72A5">
        <w:rPr>
          <w:spacing w:val="-2"/>
        </w:rPr>
        <w:t xml:space="preserve"> </w:t>
      </w:r>
      <w:r>
        <w:t>possible, RDA UK will aim to identify and provide for any special needs of an individual during this period.</w:t>
      </w:r>
    </w:p>
    <w:p w14:paraId="0BE00834" w14:textId="2CA766E4" w:rsidR="00AB7860" w:rsidRDefault="00AB7860" w:rsidP="00496C01">
      <w:pPr>
        <w:spacing w:after="0" w:line="276" w:lineRule="auto"/>
        <w:jc w:val="both"/>
        <w:rPr>
          <w:rFonts w:cstheme="minorHAnsi"/>
        </w:rPr>
      </w:pPr>
    </w:p>
    <w:p w14:paraId="2E12124E" w14:textId="77777777" w:rsidR="004F5E7A" w:rsidRPr="00EF0032" w:rsidRDefault="004F5E7A" w:rsidP="004F5E7A">
      <w:pPr>
        <w:spacing w:after="0" w:line="276" w:lineRule="auto"/>
        <w:jc w:val="both"/>
        <w:rPr>
          <w:rFonts w:cstheme="minorHAnsi"/>
          <w:sz w:val="24"/>
          <w:szCs w:val="24"/>
        </w:rPr>
      </w:pPr>
      <w:r>
        <w:rPr>
          <w:rFonts w:cstheme="minorHAnsi"/>
          <w:b/>
          <w:bCs/>
          <w:sz w:val="24"/>
          <w:szCs w:val="24"/>
        </w:rPr>
        <w:t>4. Mechanism for Resolving Grievances</w:t>
      </w:r>
    </w:p>
    <w:p w14:paraId="0655074B" w14:textId="463B36C4" w:rsidR="004F5E7A" w:rsidRDefault="004F5E7A" w:rsidP="004F5E7A">
      <w:pPr>
        <w:pStyle w:val="ListParagraph"/>
        <w:widowControl w:val="0"/>
        <w:numPr>
          <w:ilvl w:val="0"/>
          <w:numId w:val="3"/>
        </w:numPr>
        <w:tabs>
          <w:tab w:val="left" w:pos="820"/>
        </w:tabs>
        <w:autoSpaceDE w:val="0"/>
        <w:autoSpaceDN w:val="0"/>
        <w:spacing w:after="0" w:line="240" w:lineRule="auto"/>
        <w:ind w:right="111"/>
        <w:jc w:val="both"/>
      </w:pPr>
      <w:r>
        <w:t>Any internal grievance relating to this policy may be addressed through RDA UK's complaints procedure.</w:t>
      </w:r>
      <w:r w:rsidRPr="00EF72A5">
        <w:rPr>
          <w:spacing w:val="40"/>
        </w:rPr>
        <w:t xml:space="preserve"> </w:t>
      </w:r>
      <w:r>
        <w:t>Anyone who believes that the spirit of this policy is not being implemented properly in any area may raise it, in the first instance, with the Group Chair.</w:t>
      </w:r>
    </w:p>
    <w:p w14:paraId="07056A44" w14:textId="77777777" w:rsidR="004F5E7A" w:rsidRDefault="004F5E7A" w:rsidP="004F5E7A">
      <w:pPr>
        <w:widowControl w:val="0"/>
        <w:tabs>
          <w:tab w:val="left" w:pos="820"/>
        </w:tabs>
        <w:autoSpaceDE w:val="0"/>
        <w:autoSpaceDN w:val="0"/>
        <w:spacing w:after="0" w:line="240" w:lineRule="auto"/>
        <w:ind w:right="111"/>
        <w:jc w:val="both"/>
      </w:pPr>
    </w:p>
    <w:p w14:paraId="75CA7802" w14:textId="68B0E234" w:rsidR="004F5E7A" w:rsidRDefault="004F5E7A" w:rsidP="004F5E7A">
      <w:pPr>
        <w:pStyle w:val="ListParagraph"/>
        <w:widowControl w:val="0"/>
        <w:numPr>
          <w:ilvl w:val="0"/>
          <w:numId w:val="3"/>
        </w:numPr>
        <w:tabs>
          <w:tab w:val="left" w:pos="820"/>
        </w:tabs>
        <w:autoSpaceDE w:val="0"/>
        <w:autoSpaceDN w:val="0"/>
        <w:spacing w:after="0" w:line="240" w:lineRule="auto"/>
        <w:ind w:right="111"/>
        <w:jc w:val="both"/>
      </w:pPr>
      <w:r>
        <w:t>Any external complaint relating to RDA's procedures will be directed to the Group Chair in the first instance.</w:t>
      </w:r>
      <w:r w:rsidRPr="00EF72A5">
        <w:rPr>
          <w:spacing w:val="40"/>
        </w:rPr>
        <w:t xml:space="preserve"> </w:t>
      </w:r>
      <w:r>
        <w:t>If the applicant is not satisfied with the outcome, they can escalate the issue per the RDA UK Complaints Policy.</w:t>
      </w:r>
    </w:p>
    <w:p w14:paraId="2D2314EB" w14:textId="77777777" w:rsidR="00AB7860" w:rsidRDefault="00AB7860" w:rsidP="00496C01">
      <w:pPr>
        <w:spacing w:after="0" w:line="276" w:lineRule="auto"/>
        <w:jc w:val="both"/>
        <w:rPr>
          <w:rFonts w:cstheme="minorHAnsi"/>
        </w:rPr>
      </w:pPr>
    </w:p>
    <w:p w14:paraId="0ADD8BA8" w14:textId="77777777" w:rsidR="004F5E7A" w:rsidRPr="00EF0032" w:rsidRDefault="004F5E7A" w:rsidP="004F5E7A">
      <w:pPr>
        <w:spacing w:after="0" w:line="276" w:lineRule="auto"/>
        <w:jc w:val="both"/>
        <w:rPr>
          <w:rFonts w:cstheme="minorHAnsi"/>
          <w:sz w:val="24"/>
          <w:szCs w:val="24"/>
        </w:rPr>
      </w:pPr>
      <w:r>
        <w:rPr>
          <w:rFonts w:cstheme="minorHAnsi"/>
          <w:b/>
          <w:bCs/>
          <w:sz w:val="24"/>
          <w:szCs w:val="24"/>
        </w:rPr>
        <w:t>5. Responsibility and Accountability</w:t>
      </w:r>
    </w:p>
    <w:p w14:paraId="7316BD24" w14:textId="134A4BB5" w:rsidR="004F5E7A" w:rsidRPr="004F5E7A" w:rsidRDefault="004F5E7A" w:rsidP="004F5E7A">
      <w:pPr>
        <w:pStyle w:val="BodyText"/>
        <w:spacing w:before="1"/>
        <w:ind w:right="111"/>
        <w:jc w:val="both"/>
        <w:rPr>
          <w:rFonts w:ascii="Tahoma"/>
        </w:rPr>
      </w:pPr>
      <w:r>
        <w:t>Everyone is responsible for ensuring that the equal opportunity policy is implemented, and that the spirit of the policy is adopted throughout the organisation.</w:t>
      </w:r>
      <w:r>
        <w:rPr>
          <w:spacing w:val="40"/>
        </w:rPr>
        <w:t xml:space="preserve"> </w:t>
      </w:r>
      <w:r>
        <w:t>The Group Chair is responsible for monitoring and evaluating the effectiveness of the equal opportunity policy and for making recommendations and investigations where appropriate</w:t>
      </w:r>
      <w:r>
        <w:rPr>
          <w:rFonts w:ascii="Tahoma"/>
        </w:rPr>
        <w:t>.</w:t>
      </w:r>
    </w:p>
    <w:sectPr w:rsidR="004F5E7A" w:rsidRPr="004F5E7A" w:rsidSect="004F5E7A">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04A2" w14:textId="77777777" w:rsidR="000E7BD8" w:rsidRDefault="000E7BD8" w:rsidP="007831D9">
      <w:pPr>
        <w:spacing w:after="0" w:line="240" w:lineRule="auto"/>
      </w:pPr>
      <w:r>
        <w:separator/>
      </w:r>
    </w:p>
  </w:endnote>
  <w:endnote w:type="continuationSeparator" w:id="0">
    <w:p w14:paraId="2D2188B9" w14:textId="77777777" w:rsidR="000E7BD8" w:rsidRDefault="000E7BD8" w:rsidP="00783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11961" w14:textId="376BB466" w:rsidR="004F5E7A" w:rsidRDefault="004F5E7A" w:rsidP="004F5E7A">
    <w:pPr>
      <w:pStyle w:val="Footer"/>
    </w:pPr>
    <w:r>
      <w:t>RDA Equal Opportunities</w:t>
    </w:r>
  </w:p>
  <w:p w14:paraId="59F05EEE" w14:textId="75B54618" w:rsidR="00C0377F" w:rsidRDefault="007831D9" w:rsidP="004F5E7A">
    <w:pPr>
      <w:pStyle w:val="Footer"/>
    </w:pPr>
    <w:r>
      <w:t>First Version</w:t>
    </w:r>
    <w:r w:rsidR="00496C01">
      <w:t>,</w:t>
    </w:r>
    <w:r w:rsidR="00AA165B">
      <w:t xml:space="preserve"> </w:t>
    </w:r>
    <w:r w:rsidR="004F5E7A">
      <w:t>February 2012</w:t>
    </w:r>
    <w:r w:rsidR="00496C01">
      <w:t xml:space="preserve"> (Reviewed </w:t>
    </w:r>
    <w:r w:rsidR="004F5E7A">
      <w:t>January 2024</w:t>
    </w:r>
    <w:r w:rsidR="00496C01">
      <w:t>)</w:t>
    </w:r>
    <w:r>
      <w:ptab w:relativeTo="margin" w:alignment="right" w:leader="none"/>
    </w:r>
    <w:sdt>
      <w:sdtPr>
        <w:id w:val="-591090305"/>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w:t>
            </w:r>
            <w:r>
              <w:rPr>
                <w:b/>
                <w:bCs/>
                <w:sz w:val="24"/>
                <w:szCs w:val="24"/>
              </w:rPr>
              <w:fldChar w:fldCharType="end"/>
            </w:r>
          </w:sdtContent>
        </w:sdt>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AE6B7" w14:textId="77777777" w:rsidR="000E7BD8" w:rsidRDefault="000E7BD8" w:rsidP="007831D9">
      <w:pPr>
        <w:spacing w:after="0" w:line="240" w:lineRule="auto"/>
      </w:pPr>
      <w:r>
        <w:separator/>
      </w:r>
    </w:p>
  </w:footnote>
  <w:footnote w:type="continuationSeparator" w:id="0">
    <w:p w14:paraId="66B8E77A" w14:textId="77777777" w:rsidR="000E7BD8" w:rsidRDefault="000E7BD8" w:rsidP="00783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245E" w14:textId="0512D9CA" w:rsidR="00C0377F" w:rsidRPr="004F5E7A" w:rsidRDefault="004F5E7A" w:rsidP="004F5E7A">
    <w:pPr>
      <w:spacing w:after="0" w:line="276" w:lineRule="auto"/>
      <w:jc w:val="both"/>
      <w:rPr>
        <w:rFonts w:cstheme="minorHAnsi"/>
        <w:b/>
        <w:bCs/>
        <w:sz w:val="40"/>
        <w:szCs w:val="40"/>
        <w:lang w:val="en-US"/>
      </w:rPr>
    </w:pPr>
    <w:r>
      <w:rPr>
        <w:noProof/>
      </w:rPr>
      <w:drawing>
        <wp:anchor distT="0" distB="0" distL="114300" distR="114300" simplePos="0" relativeHeight="251659264" behindDoc="1" locked="0" layoutInCell="1" allowOverlap="1" wp14:anchorId="46990A55" wp14:editId="782E47B3">
          <wp:simplePos x="0" y="0"/>
          <wp:positionH relativeFrom="margin">
            <wp:align>right</wp:align>
          </wp:positionH>
          <wp:positionV relativeFrom="paragraph">
            <wp:posOffset>-300990</wp:posOffset>
          </wp:positionV>
          <wp:extent cx="1115060" cy="765810"/>
          <wp:effectExtent l="0" t="0" r="8890" b="0"/>
          <wp:wrapSquare wrapText="bothSides"/>
          <wp:docPr id="1026432667" name="Picture 102643266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506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bCs/>
        <w:sz w:val="40"/>
        <w:szCs w:val="40"/>
        <w:lang w:val="en-US"/>
      </w:rPr>
      <w:t>Equal Opportunities Policy &amp;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70B8"/>
    <w:multiLevelType w:val="hybridMultilevel"/>
    <w:tmpl w:val="A30C8BAE"/>
    <w:lvl w:ilvl="0" w:tplc="0809000F">
      <w:start w:val="1"/>
      <w:numFmt w:val="decimal"/>
      <w:lvlText w:val="%1."/>
      <w:lvlJc w:val="left"/>
      <w:pPr>
        <w:ind w:left="720" w:hanging="360"/>
      </w:pPr>
      <w:rPr>
        <w:rFonts w:hint="default"/>
        <w:b w:val="0"/>
        <w:bCs w:val="0"/>
        <w:i w:val="0"/>
        <w:i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FEB5BDA"/>
    <w:multiLevelType w:val="hybridMultilevel"/>
    <w:tmpl w:val="D190FC80"/>
    <w:lvl w:ilvl="0" w:tplc="679681FA">
      <w:start w:val="1"/>
      <w:numFmt w:val="lowerLetter"/>
      <w:lvlText w:val="%1)"/>
      <w:lvlJc w:val="left"/>
      <w:pPr>
        <w:ind w:left="720" w:hanging="360"/>
      </w:pPr>
      <w:rPr>
        <w:rFonts w:hint="default"/>
        <w:b w:val="0"/>
        <w:bCs/>
      </w:rPr>
    </w:lvl>
    <w:lvl w:ilvl="1" w:tplc="87AE8B8E">
      <w:start w:val="1"/>
      <w:numFmt w:val="lowerRoman"/>
      <w:lvlText w:val="(%2)"/>
      <w:lvlJc w:val="left"/>
      <w:pPr>
        <w:ind w:left="1440" w:hanging="360"/>
      </w:pPr>
      <w:rPr>
        <w:rFonts w:ascii="Calibri" w:eastAsia="Calibri" w:hAnsi="Calibri" w:cs="Calibri" w:hint="default"/>
        <w:b w:val="0"/>
        <w:bCs w:val="0"/>
        <w:i w:val="0"/>
        <w:iCs w:val="0"/>
        <w:spacing w:val="-1"/>
        <w:w w:val="100"/>
        <w:sz w:val="22"/>
        <w:szCs w:val="22"/>
        <w:lang w:val="en-US" w:eastAsia="en-US" w:bidi="ar-SA"/>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D166F0"/>
    <w:multiLevelType w:val="hybridMultilevel"/>
    <w:tmpl w:val="AC56E3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FD4806"/>
    <w:multiLevelType w:val="hybridMultilevel"/>
    <w:tmpl w:val="27B25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3D756B"/>
    <w:multiLevelType w:val="hybridMultilevel"/>
    <w:tmpl w:val="D5582C30"/>
    <w:lvl w:ilvl="0" w:tplc="87AE8B8E">
      <w:start w:val="1"/>
      <w:numFmt w:val="lowerRoman"/>
      <w:lvlText w:val="(%1)"/>
      <w:lvlJc w:val="left"/>
      <w:pPr>
        <w:ind w:left="720" w:hanging="360"/>
      </w:pPr>
      <w:rPr>
        <w:rFonts w:ascii="Calibri" w:eastAsia="Calibri" w:hAnsi="Calibri" w:cs="Calibri" w:hint="default"/>
        <w:b w:val="0"/>
        <w:bCs w:val="0"/>
        <w:i w:val="0"/>
        <w:iCs w:val="0"/>
        <w:spacing w:val="-1"/>
        <w:w w:val="100"/>
        <w:sz w:val="22"/>
        <w:szCs w:val="22"/>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BE5E25"/>
    <w:multiLevelType w:val="hybridMultilevel"/>
    <w:tmpl w:val="D43A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E27354"/>
    <w:multiLevelType w:val="hybridMultilevel"/>
    <w:tmpl w:val="734A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3992908">
    <w:abstractNumId w:val="6"/>
  </w:num>
  <w:num w:numId="2" w16cid:durableId="1262489552">
    <w:abstractNumId w:val="2"/>
  </w:num>
  <w:num w:numId="3" w16cid:durableId="1796488716">
    <w:abstractNumId w:val="3"/>
  </w:num>
  <w:num w:numId="4" w16cid:durableId="1263100899">
    <w:abstractNumId w:val="1"/>
  </w:num>
  <w:num w:numId="5" w16cid:durableId="829902175">
    <w:abstractNumId w:val="5"/>
  </w:num>
  <w:num w:numId="6" w16cid:durableId="467093277">
    <w:abstractNumId w:val="4"/>
  </w:num>
  <w:num w:numId="7" w16cid:durableId="430200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D41"/>
    <w:rsid w:val="0002079C"/>
    <w:rsid w:val="0007066C"/>
    <w:rsid w:val="00082DC1"/>
    <w:rsid w:val="000E7BD8"/>
    <w:rsid w:val="001B0D2B"/>
    <w:rsid w:val="00327499"/>
    <w:rsid w:val="00496C01"/>
    <w:rsid w:val="004F5E7A"/>
    <w:rsid w:val="005A6957"/>
    <w:rsid w:val="006434DE"/>
    <w:rsid w:val="006E2A38"/>
    <w:rsid w:val="007831D9"/>
    <w:rsid w:val="008E2249"/>
    <w:rsid w:val="0090052F"/>
    <w:rsid w:val="00964628"/>
    <w:rsid w:val="00973D41"/>
    <w:rsid w:val="00A24C02"/>
    <w:rsid w:val="00AA165B"/>
    <w:rsid w:val="00AB7860"/>
    <w:rsid w:val="00B30196"/>
    <w:rsid w:val="00C0377F"/>
    <w:rsid w:val="00CE3BE5"/>
    <w:rsid w:val="00D45A2A"/>
    <w:rsid w:val="00D72A8D"/>
    <w:rsid w:val="00DF068E"/>
    <w:rsid w:val="00EF0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734CA"/>
  <w15:chartTrackingRefBased/>
  <w15:docId w15:val="{7FC7B17F-16A0-4DF0-A1EF-B9CA9138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7066C"/>
    <w:pPr>
      <w:ind w:left="720"/>
      <w:contextualSpacing/>
    </w:pPr>
  </w:style>
  <w:style w:type="character" w:styleId="CommentReference">
    <w:name w:val="annotation reference"/>
    <w:basedOn w:val="DefaultParagraphFont"/>
    <w:uiPriority w:val="99"/>
    <w:semiHidden/>
    <w:unhideWhenUsed/>
    <w:rsid w:val="00A24C02"/>
    <w:rPr>
      <w:sz w:val="16"/>
      <w:szCs w:val="16"/>
    </w:rPr>
  </w:style>
  <w:style w:type="paragraph" w:styleId="CommentText">
    <w:name w:val="annotation text"/>
    <w:basedOn w:val="Normal"/>
    <w:link w:val="CommentTextChar"/>
    <w:uiPriority w:val="99"/>
    <w:unhideWhenUsed/>
    <w:rsid w:val="00A24C02"/>
    <w:pPr>
      <w:spacing w:line="240" w:lineRule="auto"/>
    </w:pPr>
    <w:rPr>
      <w:sz w:val="20"/>
      <w:szCs w:val="20"/>
    </w:rPr>
  </w:style>
  <w:style w:type="character" w:customStyle="1" w:styleId="CommentTextChar">
    <w:name w:val="Comment Text Char"/>
    <w:basedOn w:val="DefaultParagraphFont"/>
    <w:link w:val="CommentText"/>
    <w:uiPriority w:val="99"/>
    <w:rsid w:val="00A24C02"/>
    <w:rPr>
      <w:sz w:val="20"/>
      <w:szCs w:val="20"/>
    </w:rPr>
  </w:style>
  <w:style w:type="paragraph" w:styleId="CommentSubject">
    <w:name w:val="annotation subject"/>
    <w:basedOn w:val="CommentText"/>
    <w:next w:val="CommentText"/>
    <w:link w:val="CommentSubjectChar"/>
    <w:uiPriority w:val="99"/>
    <w:semiHidden/>
    <w:unhideWhenUsed/>
    <w:rsid w:val="00A24C02"/>
    <w:rPr>
      <w:b/>
      <w:bCs/>
    </w:rPr>
  </w:style>
  <w:style w:type="character" w:customStyle="1" w:styleId="CommentSubjectChar">
    <w:name w:val="Comment Subject Char"/>
    <w:basedOn w:val="CommentTextChar"/>
    <w:link w:val="CommentSubject"/>
    <w:uiPriority w:val="99"/>
    <w:semiHidden/>
    <w:rsid w:val="00A24C02"/>
    <w:rPr>
      <w:b/>
      <w:bCs/>
      <w:sz w:val="20"/>
      <w:szCs w:val="20"/>
    </w:rPr>
  </w:style>
  <w:style w:type="table" w:styleId="TableGrid">
    <w:name w:val="Table Grid"/>
    <w:basedOn w:val="TableNormal"/>
    <w:uiPriority w:val="39"/>
    <w:rsid w:val="001B0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1B0D2B"/>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1B0D2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
    <w:name w:val="Grid Table 1 Light"/>
    <w:basedOn w:val="TableNormal"/>
    <w:uiPriority w:val="46"/>
    <w:rsid w:val="001B0D2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83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1D9"/>
  </w:style>
  <w:style w:type="paragraph" w:styleId="Footer">
    <w:name w:val="footer"/>
    <w:basedOn w:val="Normal"/>
    <w:link w:val="FooterChar"/>
    <w:uiPriority w:val="99"/>
    <w:unhideWhenUsed/>
    <w:rsid w:val="00783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1D9"/>
  </w:style>
  <w:style w:type="paragraph" w:styleId="BodyText">
    <w:name w:val="Body Text"/>
    <w:basedOn w:val="Normal"/>
    <w:link w:val="BodyTextChar"/>
    <w:uiPriority w:val="1"/>
    <w:qFormat/>
    <w:rsid w:val="004F5E7A"/>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4F5E7A"/>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3904">
      <w:bodyDiv w:val="1"/>
      <w:marLeft w:val="0"/>
      <w:marRight w:val="0"/>
      <w:marTop w:val="0"/>
      <w:marBottom w:val="0"/>
      <w:divBdr>
        <w:top w:val="none" w:sz="0" w:space="0" w:color="auto"/>
        <w:left w:val="none" w:sz="0" w:space="0" w:color="auto"/>
        <w:bottom w:val="none" w:sz="0" w:space="0" w:color="auto"/>
        <w:right w:val="none" w:sz="0" w:space="0" w:color="auto"/>
      </w:divBdr>
    </w:div>
    <w:div w:id="213005134">
      <w:bodyDiv w:val="1"/>
      <w:marLeft w:val="0"/>
      <w:marRight w:val="0"/>
      <w:marTop w:val="0"/>
      <w:marBottom w:val="0"/>
      <w:divBdr>
        <w:top w:val="none" w:sz="0" w:space="0" w:color="auto"/>
        <w:left w:val="none" w:sz="0" w:space="0" w:color="auto"/>
        <w:bottom w:val="none" w:sz="0" w:space="0" w:color="auto"/>
        <w:right w:val="none" w:sz="0" w:space="0" w:color="auto"/>
      </w:divBdr>
    </w:div>
    <w:div w:id="277030341">
      <w:bodyDiv w:val="1"/>
      <w:marLeft w:val="0"/>
      <w:marRight w:val="0"/>
      <w:marTop w:val="0"/>
      <w:marBottom w:val="0"/>
      <w:divBdr>
        <w:top w:val="none" w:sz="0" w:space="0" w:color="auto"/>
        <w:left w:val="none" w:sz="0" w:space="0" w:color="auto"/>
        <w:bottom w:val="none" w:sz="0" w:space="0" w:color="auto"/>
        <w:right w:val="none" w:sz="0" w:space="0" w:color="auto"/>
      </w:divBdr>
    </w:div>
    <w:div w:id="321197866">
      <w:bodyDiv w:val="1"/>
      <w:marLeft w:val="0"/>
      <w:marRight w:val="0"/>
      <w:marTop w:val="0"/>
      <w:marBottom w:val="0"/>
      <w:divBdr>
        <w:top w:val="none" w:sz="0" w:space="0" w:color="auto"/>
        <w:left w:val="none" w:sz="0" w:space="0" w:color="auto"/>
        <w:bottom w:val="none" w:sz="0" w:space="0" w:color="auto"/>
        <w:right w:val="none" w:sz="0" w:space="0" w:color="auto"/>
      </w:divBdr>
    </w:div>
    <w:div w:id="91312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4BC3D7F229B64E8CD25DADD9C5588F" ma:contentTypeVersion="18" ma:contentTypeDescription="Create a new document." ma:contentTypeScope="" ma:versionID="2d02eb95c9ea675bde4577f226aba96a">
  <xsd:schema xmlns:xsd="http://www.w3.org/2001/XMLSchema" xmlns:xs="http://www.w3.org/2001/XMLSchema" xmlns:p="http://schemas.microsoft.com/office/2006/metadata/properties" xmlns:ns2="a3888a5e-7058-44e2-a7b7-1fe2723b6a6e" xmlns:ns3="25151239-bb4f-4910-b13e-c580cdf0c803" targetNamespace="http://schemas.microsoft.com/office/2006/metadata/properties" ma:root="true" ma:fieldsID="71e607f7a504bf9c4bb491b56266a789" ns2:_="" ns3:_="">
    <xsd:import namespace="a3888a5e-7058-44e2-a7b7-1fe2723b6a6e"/>
    <xsd:import namespace="25151239-bb4f-4910-b13e-c580cdf0c80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88a5e-7058-44e2-a7b7-1fe2723b6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b4cda2-cbd4-43b7-9647-76a0337a911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1239-bb4f-4910-b13e-c580cdf0c8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1e479d-1fdf-4046-8de2-294c655afd39}" ma:internalName="TaxCatchAll" ma:showField="CatchAllData" ma:web="25151239-bb4f-4910-b13e-c580cdf0c8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DB02DB-0736-4EAC-847B-8E43547D707B}">
  <ds:schemaRefs>
    <ds:schemaRef ds:uri="http://schemas.microsoft.com/sharepoint/v3/contenttype/forms"/>
  </ds:schemaRefs>
</ds:datastoreItem>
</file>

<file path=customXml/itemProps2.xml><?xml version="1.0" encoding="utf-8"?>
<ds:datastoreItem xmlns:ds="http://schemas.openxmlformats.org/officeDocument/2006/customXml" ds:itemID="{A75E0DDA-A372-4142-985A-B493C3EEF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88a5e-7058-44e2-a7b7-1fe2723b6a6e"/>
    <ds:schemaRef ds:uri="25151239-bb4f-4910-b13e-c580cdf0c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Brazier</dc:creator>
  <cp:keywords/>
  <dc:description/>
  <cp:lastModifiedBy>Marisa Bretherton-Mackay</cp:lastModifiedBy>
  <cp:revision>4</cp:revision>
  <cp:lastPrinted>2024-02-07T18:22:00Z</cp:lastPrinted>
  <dcterms:created xsi:type="dcterms:W3CDTF">2024-01-04T15:15:00Z</dcterms:created>
  <dcterms:modified xsi:type="dcterms:W3CDTF">2024-02-07T18:22:00Z</dcterms:modified>
</cp:coreProperties>
</file>